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80B" w:rsidRPr="0017080B" w:rsidRDefault="0017080B" w:rsidP="0017080B">
      <w:pPr>
        <w:widowControl/>
        <w:jc w:val="center"/>
        <w:rPr>
          <w:rFonts w:ascii="Times New Roman" w:eastAsia="宋体" w:hAnsi="Times New Roman" w:cs="Times New Roman" w:hint="eastAsia"/>
          <w:kern w:val="0"/>
          <w:sz w:val="24"/>
          <w:szCs w:val="24"/>
        </w:rPr>
      </w:pPr>
      <w:r w:rsidRPr="0017080B">
        <w:rPr>
          <w:rFonts w:ascii="黑体" w:eastAsia="黑体" w:hAnsi="黑体" w:cs="Times New Roman" w:hint="eastAsia"/>
          <w:kern w:val="0"/>
          <w:sz w:val="44"/>
          <w:szCs w:val="44"/>
        </w:rPr>
        <w:t>中华人民共和国海商法</w:t>
      </w:r>
    </w:p>
    <w:p w:rsidR="0017080B" w:rsidRPr="0017080B" w:rsidRDefault="0017080B" w:rsidP="0017080B">
      <w:pPr>
        <w:keepNext/>
        <w:keepLines/>
        <w:spacing w:before="340" w:after="330" w:line="576" w:lineRule="auto"/>
        <w:jc w:val="left"/>
        <w:outlineLvl w:val="0"/>
        <w:rPr>
          <w:rFonts w:ascii="Times New Roman" w:eastAsia="宋体" w:hAnsi="Times New Roman" w:cs="Times New Roman"/>
          <w:b/>
          <w:bCs/>
          <w:kern w:val="44"/>
          <w:sz w:val="30"/>
          <w:szCs w:val="30"/>
        </w:rPr>
      </w:pPr>
      <w:r w:rsidRPr="0017080B">
        <w:rPr>
          <w:rFonts w:ascii="宋体" w:eastAsia="宋体" w:hAnsi="宋体" w:cs="Times New Roman" w:hint="eastAsia"/>
          <w:b/>
          <w:bCs/>
          <w:kern w:val="44"/>
          <w:sz w:val="30"/>
          <w:szCs w:val="30"/>
        </w:rPr>
        <w:t>第十一章</w:t>
      </w:r>
      <w:r w:rsidRPr="0017080B">
        <w:rPr>
          <w:rFonts w:ascii="Times New Roman" w:eastAsia="宋体" w:hAnsi="Times New Roman" w:cs="Times New Roman"/>
          <w:b/>
          <w:bCs/>
          <w:kern w:val="44"/>
          <w:sz w:val="30"/>
          <w:szCs w:val="30"/>
        </w:rPr>
        <w:t xml:space="preserve"> </w:t>
      </w:r>
      <w:r w:rsidRPr="0017080B">
        <w:rPr>
          <w:rFonts w:ascii="宋体" w:eastAsia="宋体" w:hAnsi="宋体" w:cs="Times New Roman" w:hint="eastAsia"/>
          <w:b/>
          <w:bCs/>
          <w:kern w:val="44"/>
          <w:sz w:val="30"/>
          <w:szCs w:val="30"/>
        </w:rPr>
        <w:t>海事赔偿</w:t>
      </w:r>
      <w:bookmarkStart w:id="0" w:name="_GoBack"/>
      <w:bookmarkEnd w:id="0"/>
      <w:r w:rsidRPr="0017080B">
        <w:rPr>
          <w:rFonts w:ascii="宋体" w:eastAsia="宋体" w:hAnsi="宋体" w:cs="Times New Roman" w:hint="eastAsia"/>
          <w:b/>
          <w:bCs/>
          <w:kern w:val="44"/>
          <w:sz w:val="30"/>
          <w:szCs w:val="30"/>
        </w:rPr>
        <w:t>责任限制</w:t>
      </w:r>
    </w:p>
    <w:p w:rsidR="0017080B" w:rsidRPr="0017080B" w:rsidRDefault="0017080B" w:rsidP="0017080B">
      <w:pPr>
        <w:widowControl/>
        <w:spacing w:line="360" w:lineRule="auto"/>
        <w:ind w:firstLineChars="200" w:firstLine="480"/>
        <w:rPr>
          <w:rFonts w:ascii="宋体" w:eastAsia="宋体" w:hAnsi="宋体" w:cs="Times New Roman"/>
          <w:kern w:val="0"/>
          <w:sz w:val="24"/>
          <w:szCs w:val="24"/>
        </w:rPr>
      </w:pPr>
      <w:r w:rsidRPr="0017080B">
        <w:rPr>
          <w:rFonts w:ascii="宋体" w:eastAsia="宋体" w:hAnsi="宋体" w:cs="Times New Roman" w:hint="eastAsia"/>
          <w:kern w:val="0"/>
          <w:sz w:val="24"/>
          <w:szCs w:val="24"/>
        </w:rPr>
        <w:t>第二百零四条</w:t>
      </w:r>
      <w:r w:rsidRPr="0017080B">
        <w:rPr>
          <w:rFonts w:ascii="Times New Roman" w:eastAsia="宋体" w:hAnsi="Times New Roman" w:cs="Times New Roman"/>
          <w:kern w:val="0"/>
          <w:sz w:val="24"/>
          <w:szCs w:val="24"/>
        </w:rPr>
        <w:t xml:space="preserve"> </w:t>
      </w:r>
      <w:r w:rsidRPr="0017080B">
        <w:rPr>
          <w:rFonts w:ascii="宋体" w:eastAsia="宋体" w:hAnsi="宋体" w:cs="Times New Roman" w:hint="eastAsia"/>
          <w:kern w:val="0"/>
          <w:sz w:val="24"/>
          <w:szCs w:val="24"/>
        </w:rPr>
        <w:t>船舶所有人、救助人，对本法第二百零七条所列海事赔偿请求，可以依照本章规定限制赔偿责任。</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宋体" w:eastAsia="宋体" w:hAnsi="宋体" w:cs="Times New Roman" w:hint="eastAsia"/>
          <w:kern w:val="0"/>
          <w:sz w:val="24"/>
          <w:szCs w:val="24"/>
        </w:rPr>
        <w:t>前款所称的船舶所有人，包括船舶承租人和船舶经营人。</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宋体" w:eastAsia="宋体" w:hAnsi="宋体" w:cs="Times New Roman" w:hint="eastAsia"/>
          <w:kern w:val="0"/>
          <w:sz w:val="24"/>
          <w:szCs w:val="24"/>
        </w:rPr>
        <w:t>第二百零五条</w:t>
      </w:r>
      <w:r w:rsidRPr="0017080B">
        <w:rPr>
          <w:rFonts w:ascii="Times New Roman" w:eastAsia="宋体" w:hAnsi="Times New Roman" w:cs="Times New Roman"/>
          <w:kern w:val="0"/>
          <w:sz w:val="24"/>
          <w:szCs w:val="24"/>
        </w:rPr>
        <w:t xml:space="preserve"> </w:t>
      </w:r>
      <w:r w:rsidRPr="0017080B">
        <w:rPr>
          <w:rFonts w:ascii="宋体" w:eastAsia="宋体" w:hAnsi="宋体" w:cs="Times New Roman" w:hint="eastAsia"/>
          <w:kern w:val="0"/>
          <w:sz w:val="24"/>
          <w:szCs w:val="24"/>
        </w:rPr>
        <w:t>本法第二百零七条所列海事赔偿请求，不是向船舶所有人、救助人本人提出，而是向他们对其行为、过失负有责任的人员提出的，这些人员可以依照本章规定限制赔偿责任。</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宋体" w:eastAsia="宋体" w:hAnsi="宋体" w:cs="Times New Roman" w:hint="eastAsia"/>
          <w:kern w:val="0"/>
          <w:sz w:val="24"/>
          <w:szCs w:val="24"/>
        </w:rPr>
        <w:t>第二百零六条</w:t>
      </w:r>
      <w:r w:rsidRPr="0017080B">
        <w:rPr>
          <w:rFonts w:ascii="Times New Roman" w:eastAsia="宋体" w:hAnsi="Times New Roman" w:cs="Times New Roman"/>
          <w:kern w:val="0"/>
          <w:sz w:val="24"/>
          <w:szCs w:val="24"/>
        </w:rPr>
        <w:t xml:space="preserve"> </w:t>
      </w:r>
      <w:r w:rsidRPr="0017080B">
        <w:rPr>
          <w:rFonts w:ascii="宋体" w:eastAsia="宋体" w:hAnsi="宋体" w:cs="Times New Roman" w:hint="eastAsia"/>
          <w:kern w:val="0"/>
          <w:sz w:val="24"/>
          <w:szCs w:val="24"/>
        </w:rPr>
        <w:t>被保险人依照本章规定可以限制赔偿责任的，对该海事赔偿请求承担责任的保险人，有权依照本章规定享受相同的赔偿责任限制。</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宋体" w:eastAsia="宋体" w:hAnsi="宋体" w:cs="Times New Roman" w:hint="eastAsia"/>
          <w:kern w:val="0"/>
          <w:sz w:val="24"/>
          <w:szCs w:val="24"/>
        </w:rPr>
        <w:t>第二百零七条</w:t>
      </w:r>
      <w:r w:rsidRPr="0017080B">
        <w:rPr>
          <w:rFonts w:ascii="Times New Roman" w:eastAsia="宋体" w:hAnsi="Times New Roman" w:cs="Times New Roman"/>
          <w:kern w:val="0"/>
          <w:sz w:val="24"/>
          <w:szCs w:val="24"/>
        </w:rPr>
        <w:t xml:space="preserve"> </w:t>
      </w:r>
      <w:r w:rsidRPr="0017080B">
        <w:rPr>
          <w:rFonts w:ascii="宋体" w:eastAsia="宋体" w:hAnsi="宋体" w:cs="Times New Roman" w:hint="eastAsia"/>
          <w:kern w:val="0"/>
          <w:sz w:val="24"/>
          <w:szCs w:val="24"/>
        </w:rPr>
        <w:t>下列海事赔偿请求，除本法第二百零八条和第二百零九条另有规定外，无论赔偿责任的基础有何不同，责任人均可以依照本章规定限制赔偿责任：</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宋体" w:eastAsia="宋体" w:hAnsi="宋体" w:cs="Times New Roman" w:hint="eastAsia"/>
          <w:kern w:val="0"/>
          <w:sz w:val="24"/>
          <w:szCs w:val="24"/>
        </w:rPr>
        <w:t>（一）在船上发生的或者与船舶营运、救助作业直接相关的人身伤亡或者财产的灭失、损坏，包括对港口工程、港池、航道和助航设施造成的损坏，以及由此引起的相应损失的赔偿请求；</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宋体" w:eastAsia="宋体" w:hAnsi="宋体" w:cs="Times New Roman" w:hint="eastAsia"/>
          <w:kern w:val="0"/>
          <w:sz w:val="24"/>
          <w:szCs w:val="24"/>
        </w:rPr>
        <w:t>（二）海上货物运输因迟延交付或者旅客及其行李运输因迟延到达造成损失的赔偿请求；</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宋体" w:eastAsia="宋体" w:hAnsi="宋体" w:cs="Times New Roman" w:hint="eastAsia"/>
          <w:kern w:val="0"/>
          <w:sz w:val="24"/>
          <w:szCs w:val="24"/>
        </w:rPr>
        <w:t>（三）与船舶营运或者救助作业直接相关的，侵犯非合同权利的行为造成其他损失的赔偿请求；</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宋体" w:eastAsia="宋体" w:hAnsi="宋体" w:cs="Times New Roman" w:hint="eastAsia"/>
          <w:kern w:val="0"/>
          <w:sz w:val="24"/>
          <w:szCs w:val="24"/>
        </w:rPr>
        <w:t>（四）责任人以外的其他人，为避免或者减少责任人依照本章规定可以限制赔偿责任的损失而采取措施的赔偿请求，以及因此项措施造成进一步损失的赔偿请求。</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宋体" w:eastAsia="宋体" w:hAnsi="宋体" w:cs="Times New Roman" w:hint="eastAsia"/>
          <w:kern w:val="0"/>
          <w:sz w:val="24"/>
          <w:szCs w:val="24"/>
        </w:rPr>
        <w:t>前款所列赔偿请求，无论提出的方式有何不同，均可以限制赔偿责任。但是，第（四）项涉及责任人以合同约定支付的报酬，责任人的支付责任不得援用本条赔偿责任限制的规定。</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宋体" w:eastAsia="宋体" w:hAnsi="宋体" w:cs="Times New Roman" w:hint="eastAsia"/>
          <w:kern w:val="0"/>
          <w:sz w:val="24"/>
          <w:szCs w:val="24"/>
        </w:rPr>
        <w:t>第二百零八条</w:t>
      </w:r>
      <w:r w:rsidRPr="0017080B">
        <w:rPr>
          <w:rFonts w:ascii="Times New Roman" w:eastAsia="宋体" w:hAnsi="Times New Roman" w:cs="Times New Roman"/>
          <w:kern w:val="0"/>
          <w:sz w:val="24"/>
          <w:szCs w:val="24"/>
        </w:rPr>
        <w:t xml:space="preserve"> </w:t>
      </w:r>
      <w:r w:rsidRPr="0017080B">
        <w:rPr>
          <w:rFonts w:ascii="宋体" w:eastAsia="宋体" w:hAnsi="宋体" w:cs="Times New Roman" w:hint="eastAsia"/>
          <w:kern w:val="0"/>
          <w:sz w:val="24"/>
          <w:szCs w:val="24"/>
        </w:rPr>
        <w:t>本章规定不适用于下列各项：</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宋体" w:eastAsia="宋体" w:hAnsi="宋体" w:cs="Times New Roman" w:hint="eastAsia"/>
          <w:kern w:val="0"/>
          <w:sz w:val="24"/>
          <w:szCs w:val="24"/>
        </w:rPr>
        <w:lastRenderedPageBreak/>
        <w:t>（一）对救助款项或者共同海损分摊的请求；</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宋体" w:eastAsia="宋体" w:hAnsi="宋体" w:cs="Times New Roman" w:hint="eastAsia"/>
          <w:kern w:val="0"/>
          <w:sz w:val="24"/>
          <w:szCs w:val="24"/>
        </w:rPr>
        <w:t>（二）中华人民共和国参加的国际油污损害民事责任公约规定的油污损害的赔偿请求；</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宋体" w:eastAsia="宋体" w:hAnsi="宋体" w:cs="Times New Roman" w:hint="eastAsia"/>
          <w:kern w:val="0"/>
          <w:sz w:val="24"/>
          <w:szCs w:val="24"/>
        </w:rPr>
        <w:t>（三）中华人民共和国参加的国际核能损害责任限制公约规定的核能损害的赔偿请求；</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宋体" w:eastAsia="宋体" w:hAnsi="宋体" w:cs="Times New Roman" w:hint="eastAsia"/>
          <w:kern w:val="0"/>
          <w:sz w:val="24"/>
          <w:szCs w:val="24"/>
        </w:rPr>
        <w:t>（四）核动力船舶造成的核能损害的赔偿请求；</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宋体" w:eastAsia="宋体" w:hAnsi="宋体" w:cs="Times New Roman" w:hint="eastAsia"/>
          <w:kern w:val="0"/>
          <w:sz w:val="24"/>
          <w:szCs w:val="24"/>
        </w:rPr>
        <w:t>（五）船舶所有人或者救助人的受雇人提出的赔偿请求，根据调整劳务合同的法律，船舶所有人或者救助人对该类赔偿请求无权限制赔偿责任，或者该项法律作了高于本章规定的赔偿限额的规定。</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宋体" w:eastAsia="宋体" w:hAnsi="宋体" w:cs="Times New Roman" w:hint="eastAsia"/>
          <w:kern w:val="0"/>
          <w:sz w:val="24"/>
          <w:szCs w:val="24"/>
        </w:rPr>
        <w:t>第二百零九条</w:t>
      </w:r>
      <w:r w:rsidRPr="0017080B">
        <w:rPr>
          <w:rFonts w:ascii="Times New Roman" w:eastAsia="宋体" w:hAnsi="Times New Roman" w:cs="Times New Roman"/>
          <w:kern w:val="0"/>
          <w:sz w:val="24"/>
          <w:szCs w:val="24"/>
        </w:rPr>
        <w:t xml:space="preserve"> </w:t>
      </w:r>
      <w:r w:rsidRPr="0017080B">
        <w:rPr>
          <w:rFonts w:ascii="宋体" w:eastAsia="宋体" w:hAnsi="宋体" w:cs="Times New Roman" w:hint="eastAsia"/>
          <w:kern w:val="0"/>
          <w:sz w:val="24"/>
          <w:szCs w:val="24"/>
        </w:rPr>
        <w:t>经证明，引起赔偿请求的损失是由于责任人的故意或者明知可能造成损失而轻率地作为或者不作为造成的，责任人无权依照本章规定限制赔偿责任。</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宋体" w:eastAsia="宋体" w:hAnsi="宋体" w:cs="Times New Roman" w:hint="eastAsia"/>
          <w:kern w:val="0"/>
          <w:sz w:val="24"/>
          <w:szCs w:val="24"/>
        </w:rPr>
        <w:t>第二百一十条</w:t>
      </w:r>
      <w:r w:rsidRPr="0017080B">
        <w:rPr>
          <w:rFonts w:ascii="Times New Roman" w:eastAsia="宋体" w:hAnsi="Times New Roman" w:cs="Times New Roman"/>
          <w:kern w:val="0"/>
          <w:sz w:val="24"/>
          <w:szCs w:val="24"/>
        </w:rPr>
        <w:t xml:space="preserve"> </w:t>
      </w:r>
      <w:r w:rsidRPr="0017080B">
        <w:rPr>
          <w:rFonts w:ascii="宋体" w:eastAsia="宋体" w:hAnsi="宋体" w:cs="Times New Roman" w:hint="eastAsia"/>
          <w:kern w:val="0"/>
          <w:sz w:val="24"/>
          <w:szCs w:val="24"/>
        </w:rPr>
        <w:t>除本法第二百一十一条另有规定外，海事赔偿责任限制，依照下列规定计算赔偿限额：</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宋体" w:eastAsia="宋体" w:hAnsi="宋体" w:cs="Times New Roman" w:hint="eastAsia"/>
          <w:kern w:val="0"/>
          <w:sz w:val="24"/>
          <w:szCs w:val="24"/>
        </w:rPr>
        <w:t>（一）关于人身伤亡的赔偿请求</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宋体" w:eastAsia="宋体" w:hAnsi="宋体" w:cs="Times New Roman" w:hint="eastAsia"/>
          <w:kern w:val="0"/>
          <w:sz w:val="24"/>
          <w:szCs w:val="24"/>
        </w:rPr>
        <w:t>１</w:t>
      </w:r>
      <w:r w:rsidRPr="0017080B">
        <w:rPr>
          <w:rFonts w:ascii="Times New Roman" w:eastAsia="宋体" w:hAnsi="Times New Roman" w:cs="Times New Roman" w:hint="eastAsia"/>
          <w:kern w:val="0"/>
          <w:sz w:val="24"/>
          <w:szCs w:val="24"/>
        </w:rPr>
        <w:t>.</w:t>
      </w:r>
      <w:r w:rsidRPr="0017080B">
        <w:rPr>
          <w:rFonts w:ascii="宋体" w:eastAsia="宋体" w:hAnsi="宋体" w:cs="Times New Roman" w:hint="eastAsia"/>
          <w:kern w:val="0"/>
          <w:sz w:val="24"/>
          <w:szCs w:val="24"/>
        </w:rPr>
        <w:t>总吨位</w:t>
      </w:r>
      <w:r w:rsidRPr="0017080B">
        <w:rPr>
          <w:rFonts w:ascii="Times New Roman" w:eastAsia="宋体" w:hAnsi="Times New Roman" w:cs="Times New Roman" w:hint="eastAsia"/>
          <w:kern w:val="0"/>
          <w:sz w:val="24"/>
          <w:szCs w:val="24"/>
        </w:rPr>
        <w:t>300</w:t>
      </w:r>
      <w:r w:rsidRPr="0017080B">
        <w:rPr>
          <w:rFonts w:ascii="宋体" w:eastAsia="宋体" w:hAnsi="宋体" w:cs="Times New Roman" w:hint="eastAsia"/>
          <w:kern w:val="0"/>
          <w:sz w:val="24"/>
          <w:szCs w:val="24"/>
        </w:rPr>
        <w:t>吨</w:t>
      </w:r>
      <w:r w:rsidRPr="0017080B">
        <w:rPr>
          <w:rFonts w:ascii="Times New Roman" w:eastAsia="宋体" w:hAnsi="Times New Roman" w:cs="Times New Roman"/>
          <w:kern w:val="0"/>
          <w:sz w:val="24"/>
          <w:szCs w:val="24"/>
        </w:rPr>
        <w:t xml:space="preserve"> </w:t>
      </w:r>
      <w:r w:rsidRPr="0017080B">
        <w:rPr>
          <w:rFonts w:ascii="宋体" w:eastAsia="宋体" w:hAnsi="宋体" w:cs="Times New Roman" w:hint="eastAsia"/>
          <w:kern w:val="0"/>
          <w:sz w:val="24"/>
          <w:szCs w:val="24"/>
        </w:rPr>
        <w:t>至</w:t>
      </w:r>
      <w:r w:rsidRPr="0017080B">
        <w:rPr>
          <w:rFonts w:ascii="Times New Roman" w:eastAsia="宋体" w:hAnsi="Times New Roman" w:cs="Times New Roman" w:hint="eastAsia"/>
          <w:kern w:val="0"/>
          <w:sz w:val="24"/>
          <w:szCs w:val="24"/>
        </w:rPr>
        <w:t>500</w:t>
      </w:r>
      <w:r w:rsidRPr="0017080B">
        <w:rPr>
          <w:rFonts w:ascii="宋体" w:eastAsia="宋体" w:hAnsi="宋体" w:cs="Times New Roman" w:hint="eastAsia"/>
          <w:kern w:val="0"/>
          <w:sz w:val="24"/>
          <w:szCs w:val="24"/>
        </w:rPr>
        <w:t>吨的船舶，赔偿限额为</w:t>
      </w:r>
      <w:r w:rsidRPr="0017080B">
        <w:rPr>
          <w:rFonts w:ascii="Times New Roman" w:eastAsia="宋体" w:hAnsi="Times New Roman" w:cs="Times New Roman" w:hint="eastAsia"/>
          <w:kern w:val="0"/>
          <w:sz w:val="24"/>
          <w:szCs w:val="24"/>
        </w:rPr>
        <w:t>333000</w:t>
      </w:r>
      <w:r w:rsidRPr="0017080B">
        <w:rPr>
          <w:rFonts w:ascii="宋体" w:eastAsia="宋体" w:hAnsi="宋体" w:cs="Times New Roman" w:hint="eastAsia"/>
          <w:kern w:val="0"/>
          <w:sz w:val="24"/>
          <w:szCs w:val="24"/>
        </w:rPr>
        <w:t>计算单位；</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宋体" w:eastAsia="宋体" w:hAnsi="宋体" w:cs="Times New Roman" w:hint="eastAsia"/>
          <w:kern w:val="0"/>
          <w:sz w:val="24"/>
          <w:szCs w:val="24"/>
        </w:rPr>
        <w:t>２</w:t>
      </w:r>
      <w:r w:rsidRPr="0017080B">
        <w:rPr>
          <w:rFonts w:ascii="Times New Roman" w:eastAsia="宋体" w:hAnsi="Times New Roman" w:cs="Times New Roman" w:hint="eastAsia"/>
          <w:kern w:val="0"/>
          <w:sz w:val="24"/>
          <w:szCs w:val="24"/>
        </w:rPr>
        <w:t>.</w:t>
      </w:r>
      <w:r w:rsidRPr="0017080B">
        <w:rPr>
          <w:rFonts w:ascii="宋体" w:eastAsia="宋体" w:hAnsi="宋体" w:cs="Times New Roman" w:hint="eastAsia"/>
          <w:kern w:val="0"/>
          <w:sz w:val="24"/>
          <w:szCs w:val="24"/>
        </w:rPr>
        <w:t>总吨位超过</w:t>
      </w:r>
      <w:r w:rsidRPr="0017080B">
        <w:rPr>
          <w:rFonts w:ascii="Times New Roman" w:eastAsia="宋体" w:hAnsi="Times New Roman" w:cs="Times New Roman" w:hint="eastAsia"/>
          <w:kern w:val="0"/>
          <w:sz w:val="24"/>
          <w:szCs w:val="24"/>
        </w:rPr>
        <w:t>500</w:t>
      </w:r>
      <w:r w:rsidRPr="0017080B">
        <w:rPr>
          <w:rFonts w:ascii="宋体" w:eastAsia="宋体" w:hAnsi="宋体" w:cs="Times New Roman" w:hint="eastAsia"/>
          <w:kern w:val="0"/>
          <w:sz w:val="24"/>
          <w:szCs w:val="24"/>
        </w:rPr>
        <w:t>吨的船舶，</w:t>
      </w:r>
      <w:r w:rsidRPr="0017080B">
        <w:rPr>
          <w:rFonts w:ascii="Times New Roman" w:eastAsia="宋体" w:hAnsi="Times New Roman" w:cs="Times New Roman" w:hint="eastAsia"/>
          <w:kern w:val="0"/>
          <w:sz w:val="24"/>
          <w:szCs w:val="24"/>
        </w:rPr>
        <w:t>500</w:t>
      </w:r>
      <w:r w:rsidRPr="0017080B">
        <w:rPr>
          <w:rFonts w:ascii="宋体" w:eastAsia="宋体" w:hAnsi="宋体" w:cs="Times New Roman" w:hint="eastAsia"/>
          <w:kern w:val="0"/>
          <w:sz w:val="24"/>
          <w:szCs w:val="24"/>
        </w:rPr>
        <w:t>吨以下部分适用本项第１目的规定，</w:t>
      </w:r>
      <w:r w:rsidRPr="0017080B">
        <w:rPr>
          <w:rFonts w:ascii="Times New Roman" w:eastAsia="宋体" w:hAnsi="Times New Roman" w:cs="Times New Roman" w:hint="eastAsia"/>
          <w:kern w:val="0"/>
          <w:sz w:val="24"/>
          <w:szCs w:val="24"/>
        </w:rPr>
        <w:t>500</w:t>
      </w:r>
      <w:r w:rsidRPr="0017080B">
        <w:rPr>
          <w:rFonts w:ascii="宋体" w:eastAsia="宋体" w:hAnsi="宋体" w:cs="Times New Roman" w:hint="eastAsia"/>
          <w:kern w:val="0"/>
          <w:sz w:val="24"/>
          <w:szCs w:val="24"/>
        </w:rPr>
        <w:t>吨以上的部分，应当增加下列数额：</w:t>
      </w:r>
    </w:p>
    <w:p w:rsidR="0017080B" w:rsidRPr="0017080B" w:rsidRDefault="0017080B" w:rsidP="0017080B">
      <w:pPr>
        <w:widowControl/>
        <w:spacing w:line="360" w:lineRule="auto"/>
        <w:ind w:firstLineChars="200" w:firstLine="480"/>
        <w:rPr>
          <w:rFonts w:ascii="Times New Roman" w:eastAsia="宋体" w:hAnsi="Times New Roman" w:cs="Times New Roman" w:hint="eastAsia"/>
          <w:kern w:val="0"/>
          <w:sz w:val="24"/>
          <w:szCs w:val="24"/>
        </w:rPr>
      </w:pPr>
      <w:r w:rsidRPr="0017080B">
        <w:rPr>
          <w:rFonts w:ascii="Times New Roman" w:eastAsia="宋体" w:hAnsi="Times New Roman" w:cs="Times New Roman" w:hint="eastAsia"/>
          <w:kern w:val="0"/>
          <w:sz w:val="24"/>
          <w:szCs w:val="24"/>
        </w:rPr>
        <w:t>501</w:t>
      </w:r>
      <w:r w:rsidRPr="0017080B">
        <w:rPr>
          <w:rFonts w:ascii="宋体" w:eastAsia="宋体" w:hAnsi="宋体" w:cs="Times New Roman" w:hint="eastAsia"/>
          <w:kern w:val="0"/>
          <w:sz w:val="24"/>
          <w:szCs w:val="24"/>
        </w:rPr>
        <w:t>吨至</w:t>
      </w:r>
      <w:r w:rsidRPr="0017080B">
        <w:rPr>
          <w:rFonts w:ascii="Times New Roman" w:eastAsia="宋体" w:hAnsi="Times New Roman" w:cs="Times New Roman" w:hint="eastAsia"/>
          <w:kern w:val="0"/>
          <w:sz w:val="24"/>
          <w:szCs w:val="24"/>
        </w:rPr>
        <w:t>3000</w:t>
      </w:r>
      <w:r w:rsidRPr="0017080B">
        <w:rPr>
          <w:rFonts w:ascii="宋体" w:eastAsia="宋体" w:hAnsi="宋体" w:cs="Times New Roman" w:hint="eastAsia"/>
          <w:kern w:val="0"/>
          <w:sz w:val="24"/>
          <w:szCs w:val="24"/>
        </w:rPr>
        <w:t>吨的部分，每吨增加</w:t>
      </w:r>
      <w:r w:rsidRPr="0017080B">
        <w:rPr>
          <w:rFonts w:ascii="Times New Roman" w:eastAsia="宋体" w:hAnsi="Times New Roman" w:cs="Times New Roman" w:hint="eastAsia"/>
          <w:kern w:val="0"/>
          <w:sz w:val="24"/>
          <w:szCs w:val="24"/>
        </w:rPr>
        <w:t>500</w:t>
      </w:r>
      <w:r w:rsidRPr="0017080B">
        <w:rPr>
          <w:rFonts w:ascii="宋体" w:eastAsia="宋体" w:hAnsi="宋体" w:cs="Times New Roman" w:hint="eastAsia"/>
          <w:kern w:val="0"/>
          <w:sz w:val="24"/>
          <w:szCs w:val="24"/>
        </w:rPr>
        <w:t>计算单位；</w:t>
      </w:r>
    </w:p>
    <w:p w:rsidR="0017080B" w:rsidRPr="0017080B" w:rsidRDefault="0017080B" w:rsidP="0017080B">
      <w:pPr>
        <w:widowControl/>
        <w:spacing w:line="360" w:lineRule="auto"/>
        <w:ind w:firstLineChars="200" w:firstLine="480"/>
        <w:rPr>
          <w:rFonts w:ascii="宋体" w:eastAsia="宋体" w:hAnsi="宋体" w:cs="Times New Roman"/>
          <w:kern w:val="0"/>
          <w:sz w:val="24"/>
          <w:szCs w:val="24"/>
        </w:rPr>
      </w:pPr>
      <w:r w:rsidRPr="0017080B">
        <w:rPr>
          <w:rFonts w:ascii="Times New Roman" w:eastAsia="宋体" w:hAnsi="Times New Roman" w:cs="Times New Roman" w:hint="eastAsia"/>
          <w:kern w:val="0"/>
          <w:sz w:val="24"/>
          <w:szCs w:val="24"/>
        </w:rPr>
        <w:t>3001</w:t>
      </w:r>
      <w:r w:rsidRPr="0017080B">
        <w:rPr>
          <w:rFonts w:ascii="宋体" w:eastAsia="宋体" w:hAnsi="宋体" w:cs="Times New Roman" w:hint="eastAsia"/>
          <w:kern w:val="0"/>
          <w:sz w:val="24"/>
          <w:szCs w:val="24"/>
        </w:rPr>
        <w:t>吨至</w:t>
      </w:r>
      <w:r w:rsidRPr="0017080B">
        <w:rPr>
          <w:rFonts w:ascii="Times New Roman" w:eastAsia="宋体" w:hAnsi="Times New Roman" w:cs="Times New Roman" w:hint="eastAsia"/>
          <w:kern w:val="0"/>
          <w:sz w:val="24"/>
          <w:szCs w:val="24"/>
        </w:rPr>
        <w:t>30000</w:t>
      </w:r>
      <w:r w:rsidRPr="0017080B">
        <w:rPr>
          <w:rFonts w:ascii="宋体" w:eastAsia="宋体" w:hAnsi="宋体" w:cs="Times New Roman" w:hint="eastAsia"/>
          <w:kern w:val="0"/>
          <w:sz w:val="24"/>
          <w:szCs w:val="24"/>
        </w:rPr>
        <w:t>吨的部分，每吨增加</w:t>
      </w:r>
      <w:r w:rsidRPr="0017080B">
        <w:rPr>
          <w:rFonts w:ascii="Times New Roman" w:eastAsia="宋体" w:hAnsi="Times New Roman" w:cs="Times New Roman" w:hint="eastAsia"/>
          <w:kern w:val="0"/>
          <w:sz w:val="24"/>
          <w:szCs w:val="24"/>
        </w:rPr>
        <w:t>333</w:t>
      </w:r>
      <w:r w:rsidRPr="0017080B">
        <w:rPr>
          <w:rFonts w:ascii="宋体" w:eastAsia="宋体" w:hAnsi="宋体" w:cs="Times New Roman" w:hint="eastAsia"/>
          <w:kern w:val="0"/>
          <w:sz w:val="24"/>
          <w:szCs w:val="24"/>
        </w:rPr>
        <w:t>计算单位；</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Times New Roman" w:eastAsia="宋体" w:hAnsi="Times New Roman" w:cs="Times New Roman" w:hint="eastAsia"/>
          <w:kern w:val="0"/>
          <w:sz w:val="24"/>
          <w:szCs w:val="24"/>
        </w:rPr>
        <w:t>30001</w:t>
      </w:r>
      <w:r w:rsidRPr="0017080B">
        <w:rPr>
          <w:rFonts w:ascii="宋体" w:eastAsia="宋体" w:hAnsi="宋体" w:cs="Times New Roman" w:hint="eastAsia"/>
          <w:kern w:val="0"/>
          <w:sz w:val="24"/>
          <w:szCs w:val="24"/>
        </w:rPr>
        <w:t>吨至</w:t>
      </w:r>
      <w:r w:rsidRPr="0017080B">
        <w:rPr>
          <w:rFonts w:ascii="Times New Roman" w:eastAsia="宋体" w:hAnsi="Times New Roman" w:cs="Times New Roman" w:hint="eastAsia"/>
          <w:kern w:val="0"/>
          <w:sz w:val="24"/>
          <w:szCs w:val="24"/>
        </w:rPr>
        <w:t>70000</w:t>
      </w:r>
      <w:r w:rsidRPr="0017080B">
        <w:rPr>
          <w:rFonts w:ascii="宋体" w:eastAsia="宋体" w:hAnsi="宋体" w:cs="Times New Roman" w:hint="eastAsia"/>
          <w:kern w:val="0"/>
          <w:sz w:val="24"/>
          <w:szCs w:val="24"/>
        </w:rPr>
        <w:t>吨的部分，每吨增加</w:t>
      </w:r>
      <w:r w:rsidRPr="0017080B">
        <w:rPr>
          <w:rFonts w:ascii="Times New Roman" w:eastAsia="宋体" w:hAnsi="Times New Roman" w:cs="Times New Roman" w:hint="eastAsia"/>
          <w:kern w:val="0"/>
          <w:sz w:val="24"/>
          <w:szCs w:val="24"/>
        </w:rPr>
        <w:t>250</w:t>
      </w:r>
      <w:r w:rsidRPr="0017080B">
        <w:rPr>
          <w:rFonts w:ascii="宋体" w:eastAsia="宋体" w:hAnsi="宋体" w:cs="Times New Roman" w:hint="eastAsia"/>
          <w:kern w:val="0"/>
          <w:sz w:val="24"/>
          <w:szCs w:val="24"/>
        </w:rPr>
        <w:t>计算单位；</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宋体" w:eastAsia="宋体" w:hAnsi="宋体" w:cs="Times New Roman" w:hint="eastAsia"/>
          <w:kern w:val="0"/>
          <w:sz w:val="24"/>
          <w:szCs w:val="24"/>
        </w:rPr>
        <w:t>超过</w:t>
      </w:r>
      <w:r w:rsidRPr="0017080B">
        <w:rPr>
          <w:rFonts w:ascii="Times New Roman" w:eastAsia="宋体" w:hAnsi="Times New Roman" w:cs="Times New Roman" w:hint="eastAsia"/>
          <w:kern w:val="0"/>
          <w:sz w:val="24"/>
          <w:szCs w:val="24"/>
        </w:rPr>
        <w:t>70000</w:t>
      </w:r>
      <w:r w:rsidRPr="0017080B">
        <w:rPr>
          <w:rFonts w:ascii="宋体" w:eastAsia="宋体" w:hAnsi="宋体" w:cs="Times New Roman" w:hint="eastAsia"/>
          <w:kern w:val="0"/>
          <w:sz w:val="24"/>
          <w:szCs w:val="24"/>
        </w:rPr>
        <w:t>吨的部分，每吨增加</w:t>
      </w:r>
      <w:r w:rsidRPr="0017080B">
        <w:rPr>
          <w:rFonts w:ascii="Times New Roman" w:eastAsia="宋体" w:hAnsi="Times New Roman" w:cs="Times New Roman" w:hint="eastAsia"/>
          <w:kern w:val="0"/>
          <w:sz w:val="24"/>
          <w:szCs w:val="24"/>
        </w:rPr>
        <w:t>167</w:t>
      </w:r>
      <w:r w:rsidRPr="0017080B">
        <w:rPr>
          <w:rFonts w:ascii="宋体" w:eastAsia="宋体" w:hAnsi="宋体" w:cs="Times New Roman" w:hint="eastAsia"/>
          <w:kern w:val="0"/>
          <w:sz w:val="24"/>
          <w:szCs w:val="24"/>
        </w:rPr>
        <w:t>计算单位。</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宋体" w:eastAsia="宋体" w:hAnsi="宋体" w:cs="Times New Roman" w:hint="eastAsia"/>
          <w:kern w:val="0"/>
          <w:sz w:val="24"/>
          <w:szCs w:val="24"/>
        </w:rPr>
        <w:t>（二）关于非人身伤亡的赔偿请求</w:t>
      </w:r>
    </w:p>
    <w:p w:rsidR="0017080B" w:rsidRPr="0017080B" w:rsidRDefault="0017080B" w:rsidP="0017080B">
      <w:pPr>
        <w:widowControl/>
        <w:spacing w:line="360" w:lineRule="auto"/>
        <w:ind w:firstLineChars="200" w:firstLine="480"/>
        <w:rPr>
          <w:rFonts w:ascii="Times New Roman" w:eastAsia="宋体" w:hAnsi="Times New Roman" w:cs="Times New Roman" w:hint="eastAsia"/>
          <w:kern w:val="0"/>
          <w:sz w:val="24"/>
          <w:szCs w:val="24"/>
        </w:rPr>
      </w:pPr>
      <w:r w:rsidRPr="0017080B">
        <w:rPr>
          <w:rFonts w:ascii="宋体" w:eastAsia="宋体" w:hAnsi="宋体" w:cs="Times New Roman" w:hint="eastAsia"/>
          <w:kern w:val="0"/>
          <w:sz w:val="24"/>
          <w:szCs w:val="24"/>
        </w:rPr>
        <w:t>１</w:t>
      </w:r>
      <w:r w:rsidRPr="0017080B">
        <w:rPr>
          <w:rFonts w:ascii="Times New Roman" w:eastAsia="宋体" w:hAnsi="Times New Roman" w:cs="Times New Roman" w:hint="eastAsia"/>
          <w:kern w:val="0"/>
          <w:sz w:val="24"/>
          <w:szCs w:val="24"/>
        </w:rPr>
        <w:t>.</w:t>
      </w:r>
      <w:r w:rsidRPr="0017080B">
        <w:rPr>
          <w:rFonts w:ascii="宋体" w:eastAsia="宋体" w:hAnsi="宋体" w:cs="Times New Roman" w:hint="eastAsia"/>
          <w:kern w:val="0"/>
          <w:sz w:val="24"/>
          <w:szCs w:val="24"/>
        </w:rPr>
        <w:t>总吨位</w:t>
      </w:r>
      <w:r w:rsidRPr="0017080B">
        <w:rPr>
          <w:rFonts w:ascii="Times New Roman" w:eastAsia="宋体" w:hAnsi="Times New Roman" w:cs="Times New Roman" w:hint="eastAsia"/>
          <w:kern w:val="0"/>
          <w:sz w:val="24"/>
          <w:szCs w:val="24"/>
        </w:rPr>
        <w:t>300</w:t>
      </w:r>
      <w:r w:rsidRPr="0017080B">
        <w:rPr>
          <w:rFonts w:ascii="宋体" w:eastAsia="宋体" w:hAnsi="宋体" w:cs="Times New Roman" w:hint="eastAsia"/>
          <w:kern w:val="0"/>
          <w:sz w:val="24"/>
          <w:szCs w:val="24"/>
        </w:rPr>
        <w:t>吨至</w:t>
      </w:r>
      <w:r w:rsidRPr="0017080B">
        <w:rPr>
          <w:rFonts w:ascii="Times New Roman" w:eastAsia="宋体" w:hAnsi="Times New Roman" w:cs="Times New Roman" w:hint="eastAsia"/>
          <w:kern w:val="0"/>
          <w:sz w:val="24"/>
          <w:szCs w:val="24"/>
        </w:rPr>
        <w:t>500</w:t>
      </w:r>
      <w:r w:rsidRPr="0017080B">
        <w:rPr>
          <w:rFonts w:ascii="宋体" w:eastAsia="宋体" w:hAnsi="宋体" w:cs="Times New Roman" w:hint="eastAsia"/>
          <w:kern w:val="0"/>
          <w:sz w:val="24"/>
          <w:szCs w:val="24"/>
        </w:rPr>
        <w:t>吨的船舶，赔偿限额为</w:t>
      </w:r>
      <w:r w:rsidRPr="0017080B">
        <w:rPr>
          <w:rFonts w:ascii="Times New Roman" w:eastAsia="宋体" w:hAnsi="Times New Roman" w:cs="Times New Roman" w:hint="eastAsia"/>
          <w:kern w:val="0"/>
          <w:sz w:val="24"/>
          <w:szCs w:val="24"/>
        </w:rPr>
        <w:t>167000</w:t>
      </w:r>
      <w:r w:rsidRPr="0017080B">
        <w:rPr>
          <w:rFonts w:ascii="宋体" w:eastAsia="宋体" w:hAnsi="宋体" w:cs="Times New Roman" w:hint="eastAsia"/>
          <w:kern w:val="0"/>
          <w:sz w:val="24"/>
          <w:szCs w:val="24"/>
        </w:rPr>
        <w:t>计算单位；</w:t>
      </w:r>
    </w:p>
    <w:p w:rsidR="0017080B" w:rsidRPr="0017080B" w:rsidRDefault="0017080B" w:rsidP="0017080B">
      <w:pPr>
        <w:widowControl/>
        <w:spacing w:line="360" w:lineRule="auto"/>
        <w:ind w:firstLineChars="200" w:firstLine="480"/>
        <w:rPr>
          <w:rFonts w:ascii="宋体" w:eastAsia="宋体" w:hAnsi="宋体" w:cs="Times New Roman"/>
          <w:kern w:val="0"/>
          <w:sz w:val="24"/>
          <w:szCs w:val="24"/>
        </w:rPr>
      </w:pPr>
      <w:r w:rsidRPr="0017080B">
        <w:rPr>
          <w:rFonts w:ascii="Times New Roman" w:eastAsia="宋体" w:hAnsi="Times New Roman" w:cs="Times New Roman" w:hint="eastAsia"/>
          <w:kern w:val="0"/>
          <w:sz w:val="24"/>
          <w:szCs w:val="24"/>
        </w:rPr>
        <w:t>2.</w:t>
      </w:r>
      <w:r w:rsidRPr="0017080B">
        <w:rPr>
          <w:rFonts w:ascii="宋体" w:eastAsia="宋体" w:hAnsi="宋体" w:cs="Times New Roman" w:hint="eastAsia"/>
          <w:kern w:val="0"/>
          <w:sz w:val="24"/>
          <w:szCs w:val="24"/>
        </w:rPr>
        <w:t>总吨位超过</w:t>
      </w:r>
      <w:r w:rsidRPr="0017080B">
        <w:rPr>
          <w:rFonts w:ascii="Times New Roman" w:eastAsia="宋体" w:hAnsi="Times New Roman" w:cs="Times New Roman" w:hint="eastAsia"/>
          <w:kern w:val="0"/>
          <w:sz w:val="24"/>
          <w:szCs w:val="24"/>
        </w:rPr>
        <w:t>500</w:t>
      </w:r>
      <w:r w:rsidRPr="0017080B">
        <w:rPr>
          <w:rFonts w:ascii="宋体" w:eastAsia="宋体" w:hAnsi="宋体" w:cs="Times New Roman" w:hint="eastAsia"/>
          <w:kern w:val="0"/>
          <w:sz w:val="24"/>
          <w:szCs w:val="24"/>
        </w:rPr>
        <w:t>吨的船舶，</w:t>
      </w:r>
      <w:r w:rsidRPr="0017080B">
        <w:rPr>
          <w:rFonts w:ascii="Times New Roman" w:eastAsia="宋体" w:hAnsi="Times New Roman" w:cs="Times New Roman" w:hint="eastAsia"/>
          <w:kern w:val="0"/>
          <w:sz w:val="24"/>
          <w:szCs w:val="24"/>
        </w:rPr>
        <w:t>500</w:t>
      </w:r>
      <w:r w:rsidRPr="0017080B">
        <w:rPr>
          <w:rFonts w:ascii="宋体" w:eastAsia="宋体" w:hAnsi="宋体" w:cs="Times New Roman" w:hint="eastAsia"/>
          <w:kern w:val="0"/>
          <w:sz w:val="24"/>
          <w:szCs w:val="24"/>
        </w:rPr>
        <w:t>吨以下部分适用本项第１目的规定，</w:t>
      </w:r>
      <w:r w:rsidRPr="0017080B">
        <w:rPr>
          <w:rFonts w:ascii="Times New Roman" w:eastAsia="宋体" w:hAnsi="Times New Roman" w:cs="Times New Roman" w:hint="eastAsia"/>
          <w:kern w:val="0"/>
          <w:sz w:val="24"/>
          <w:szCs w:val="24"/>
        </w:rPr>
        <w:t>500</w:t>
      </w:r>
      <w:r w:rsidRPr="0017080B">
        <w:rPr>
          <w:rFonts w:ascii="宋体" w:eastAsia="宋体" w:hAnsi="宋体" w:cs="Times New Roman" w:hint="eastAsia"/>
          <w:kern w:val="0"/>
          <w:sz w:val="24"/>
          <w:szCs w:val="24"/>
        </w:rPr>
        <w:t>吨以上的部分，应当增加下列数额：</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Times New Roman" w:eastAsia="宋体" w:hAnsi="Times New Roman" w:cs="Times New Roman" w:hint="eastAsia"/>
          <w:kern w:val="0"/>
          <w:sz w:val="24"/>
          <w:szCs w:val="24"/>
        </w:rPr>
        <w:t>501</w:t>
      </w:r>
      <w:r w:rsidRPr="0017080B">
        <w:rPr>
          <w:rFonts w:ascii="宋体" w:eastAsia="宋体" w:hAnsi="宋体" w:cs="Times New Roman" w:hint="eastAsia"/>
          <w:kern w:val="0"/>
          <w:sz w:val="24"/>
          <w:szCs w:val="24"/>
        </w:rPr>
        <w:t>吨至</w:t>
      </w:r>
      <w:r w:rsidRPr="0017080B">
        <w:rPr>
          <w:rFonts w:ascii="Times New Roman" w:eastAsia="宋体" w:hAnsi="Times New Roman" w:cs="Times New Roman" w:hint="eastAsia"/>
          <w:kern w:val="0"/>
          <w:sz w:val="24"/>
          <w:szCs w:val="24"/>
        </w:rPr>
        <w:t>30000</w:t>
      </w:r>
      <w:r w:rsidRPr="0017080B">
        <w:rPr>
          <w:rFonts w:ascii="宋体" w:eastAsia="宋体" w:hAnsi="宋体" w:cs="Times New Roman" w:hint="eastAsia"/>
          <w:kern w:val="0"/>
          <w:sz w:val="24"/>
          <w:szCs w:val="24"/>
        </w:rPr>
        <w:t>吨的部分，每吨增加</w:t>
      </w:r>
      <w:r w:rsidRPr="0017080B">
        <w:rPr>
          <w:rFonts w:ascii="Times New Roman" w:eastAsia="宋体" w:hAnsi="Times New Roman" w:cs="Times New Roman" w:hint="eastAsia"/>
          <w:kern w:val="0"/>
          <w:sz w:val="24"/>
          <w:szCs w:val="24"/>
        </w:rPr>
        <w:t>167</w:t>
      </w:r>
      <w:r w:rsidRPr="0017080B">
        <w:rPr>
          <w:rFonts w:ascii="宋体" w:eastAsia="宋体" w:hAnsi="宋体" w:cs="Times New Roman" w:hint="eastAsia"/>
          <w:kern w:val="0"/>
          <w:sz w:val="24"/>
          <w:szCs w:val="24"/>
        </w:rPr>
        <w:t>计算单位；</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Times New Roman" w:eastAsia="宋体" w:hAnsi="Times New Roman" w:cs="Times New Roman" w:hint="eastAsia"/>
          <w:kern w:val="0"/>
          <w:sz w:val="24"/>
          <w:szCs w:val="24"/>
        </w:rPr>
        <w:t>30001</w:t>
      </w:r>
      <w:r w:rsidRPr="0017080B">
        <w:rPr>
          <w:rFonts w:ascii="宋体" w:eastAsia="宋体" w:hAnsi="宋体" w:cs="Times New Roman" w:hint="eastAsia"/>
          <w:kern w:val="0"/>
          <w:sz w:val="24"/>
          <w:szCs w:val="24"/>
        </w:rPr>
        <w:t>吨至</w:t>
      </w:r>
      <w:r w:rsidRPr="0017080B">
        <w:rPr>
          <w:rFonts w:ascii="Times New Roman" w:eastAsia="宋体" w:hAnsi="Times New Roman" w:cs="Times New Roman" w:hint="eastAsia"/>
          <w:kern w:val="0"/>
          <w:sz w:val="24"/>
          <w:szCs w:val="24"/>
        </w:rPr>
        <w:t>70000</w:t>
      </w:r>
      <w:r w:rsidRPr="0017080B">
        <w:rPr>
          <w:rFonts w:ascii="宋体" w:eastAsia="宋体" w:hAnsi="宋体" w:cs="Times New Roman" w:hint="eastAsia"/>
          <w:kern w:val="0"/>
          <w:sz w:val="24"/>
          <w:szCs w:val="24"/>
        </w:rPr>
        <w:t>吨的部分，每吨增加</w:t>
      </w:r>
      <w:r w:rsidRPr="0017080B">
        <w:rPr>
          <w:rFonts w:ascii="Times New Roman" w:eastAsia="宋体" w:hAnsi="Times New Roman" w:cs="Times New Roman" w:hint="eastAsia"/>
          <w:kern w:val="0"/>
          <w:sz w:val="24"/>
          <w:szCs w:val="24"/>
        </w:rPr>
        <w:t>125</w:t>
      </w:r>
      <w:r w:rsidRPr="0017080B">
        <w:rPr>
          <w:rFonts w:ascii="宋体" w:eastAsia="宋体" w:hAnsi="宋体" w:cs="Times New Roman" w:hint="eastAsia"/>
          <w:kern w:val="0"/>
          <w:sz w:val="24"/>
          <w:szCs w:val="24"/>
        </w:rPr>
        <w:t>计算单位；</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宋体" w:eastAsia="宋体" w:hAnsi="宋体" w:cs="Times New Roman" w:hint="eastAsia"/>
          <w:kern w:val="0"/>
          <w:sz w:val="24"/>
          <w:szCs w:val="24"/>
        </w:rPr>
        <w:t>超过</w:t>
      </w:r>
      <w:r w:rsidRPr="0017080B">
        <w:rPr>
          <w:rFonts w:ascii="Times New Roman" w:eastAsia="宋体" w:hAnsi="Times New Roman" w:cs="Times New Roman" w:hint="eastAsia"/>
          <w:kern w:val="0"/>
          <w:sz w:val="24"/>
          <w:szCs w:val="24"/>
        </w:rPr>
        <w:t>70000</w:t>
      </w:r>
      <w:r w:rsidRPr="0017080B">
        <w:rPr>
          <w:rFonts w:ascii="宋体" w:eastAsia="宋体" w:hAnsi="宋体" w:cs="Times New Roman" w:hint="eastAsia"/>
          <w:kern w:val="0"/>
          <w:sz w:val="24"/>
          <w:szCs w:val="24"/>
        </w:rPr>
        <w:t>吨的部分，每吨增加</w:t>
      </w:r>
      <w:r w:rsidRPr="0017080B">
        <w:rPr>
          <w:rFonts w:ascii="Times New Roman" w:eastAsia="宋体" w:hAnsi="Times New Roman" w:cs="Times New Roman" w:hint="eastAsia"/>
          <w:kern w:val="0"/>
          <w:sz w:val="24"/>
          <w:szCs w:val="24"/>
        </w:rPr>
        <w:t>83</w:t>
      </w:r>
      <w:r w:rsidRPr="0017080B">
        <w:rPr>
          <w:rFonts w:ascii="宋体" w:eastAsia="宋体" w:hAnsi="宋体" w:cs="Times New Roman" w:hint="eastAsia"/>
          <w:kern w:val="0"/>
          <w:sz w:val="24"/>
          <w:szCs w:val="24"/>
        </w:rPr>
        <w:t>计算单位。</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宋体" w:eastAsia="宋体" w:hAnsi="宋体" w:cs="Times New Roman" w:hint="eastAsia"/>
          <w:kern w:val="0"/>
          <w:sz w:val="24"/>
          <w:szCs w:val="24"/>
        </w:rPr>
        <w:lastRenderedPageBreak/>
        <w:t>（三）依照第（一）项规定的限额，不足以支付全部人身伤亡的赔偿请求的，其差额应当与非人身伤亡的赔偿请求并列，从第（二）项数额中按照比例受偿。</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宋体" w:eastAsia="宋体" w:hAnsi="宋体" w:cs="Times New Roman" w:hint="eastAsia"/>
          <w:kern w:val="0"/>
          <w:sz w:val="24"/>
          <w:szCs w:val="24"/>
        </w:rPr>
        <w:t>（四）在不影响第（三）项关于人身伤亡赔偿请求的情况下，就港口工程、港池、航道和助航设施的损害提出的赔偿请求，应当较第（二）项中的其他赔偿请求优先受偿。</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宋体" w:eastAsia="宋体" w:hAnsi="宋体" w:cs="Times New Roman" w:hint="eastAsia"/>
          <w:kern w:val="0"/>
          <w:sz w:val="24"/>
          <w:szCs w:val="24"/>
        </w:rPr>
        <w:t>（五）不以船舶进行救助作业或者在被救船舶上进行救助作业的救助人，其责任限额按照总吨位为</w:t>
      </w:r>
      <w:r w:rsidRPr="0017080B">
        <w:rPr>
          <w:rFonts w:ascii="Times New Roman" w:eastAsia="宋体" w:hAnsi="Times New Roman" w:cs="Times New Roman" w:hint="eastAsia"/>
          <w:kern w:val="0"/>
          <w:sz w:val="24"/>
          <w:szCs w:val="24"/>
        </w:rPr>
        <w:t>1500</w:t>
      </w:r>
      <w:r w:rsidRPr="0017080B">
        <w:rPr>
          <w:rFonts w:ascii="宋体" w:eastAsia="宋体" w:hAnsi="宋体" w:cs="Times New Roman" w:hint="eastAsia"/>
          <w:kern w:val="0"/>
          <w:sz w:val="24"/>
          <w:szCs w:val="24"/>
        </w:rPr>
        <w:t>吨的船舶计算。</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宋体" w:eastAsia="宋体" w:hAnsi="宋体" w:cs="Times New Roman" w:hint="eastAsia"/>
          <w:kern w:val="0"/>
          <w:sz w:val="24"/>
          <w:szCs w:val="24"/>
        </w:rPr>
        <w:t>总吨位不满</w:t>
      </w:r>
      <w:r w:rsidRPr="0017080B">
        <w:rPr>
          <w:rFonts w:ascii="Times New Roman" w:eastAsia="宋体" w:hAnsi="Times New Roman" w:cs="Times New Roman" w:hint="eastAsia"/>
          <w:kern w:val="0"/>
          <w:sz w:val="24"/>
          <w:szCs w:val="24"/>
        </w:rPr>
        <w:t>300</w:t>
      </w:r>
      <w:r w:rsidRPr="0017080B">
        <w:rPr>
          <w:rFonts w:ascii="宋体" w:eastAsia="宋体" w:hAnsi="宋体" w:cs="Times New Roman" w:hint="eastAsia"/>
          <w:kern w:val="0"/>
          <w:sz w:val="24"/>
          <w:szCs w:val="24"/>
        </w:rPr>
        <w:t>吨的船舶，从事中华人民共和国港口之间的运输的船舶，以及从事沿海作业的船舶，其赔偿限额由国务院交通主管部门制定，报国务院批准后施行。</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宋体" w:eastAsia="宋体" w:hAnsi="宋体" w:cs="Times New Roman" w:hint="eastAsia"/>
          <w:kern w:val="0"/>
          <w:sz w:val="24"/>
          <w:szCs w:val="24"/>
        </w:rPr>
        <w:t>第二百一十一条</w:t>
      </w:r>
      <w:r w:rsidRPr="0017080B">
        <w:rPr>
          <w:rFonts w:ascii="Times New Roman" w:eastAsia="宋体" w:hAnsi="Times New Roman" w:cs="Times New Roman"/>
          <w:kern w:val="0"/>
          <w:sz w:val="24"/>
          <w:szCs w:val="24"/>
        </w:rPr>
        <w:t xml:space="preserve"> </w:t>
      </w:r>
      <w:r w:rsidRPr="0017080B">
        <w:rPr>
          <w:rFonts w:ascii="宋体" w:eastAsia="宋体" w:hAnsi="宋体" w:cs="Times New Roman" w:hint="eastAsia"/>
          <w:kern w:val="0"/>
          <w:sz w:val="24"/>
          <w:szCs w:val="24"/>
        </w:rPr>
        <w:t>海上旅客运输的旅客人身伤亡赔偿责任限制，按照</w:t>
      </w:r>
      <w:r w:rsidRPr="0017080B">
        <w:rPr>
          <w:rFonts w:ascii="Times New Roman" w:eastAsia="宋体" w:hAnsi="Times New Roman" w:cs="Times New Roman" w:hint="eastAsia"/>
          <w:kern w:val="0"/>
          <w:sz w:val="24"/>
          <w:szCs w:val="24"/>
        </w:rPr>
        <w:t>46666</w:t>
      </w:r>
      <w:r w:rsidRPr="0017080B">
        <w:rPr>
          <w:rFonts w:ascii="宋体" w:eastAsia="宋体" w:hAnsi="宋体" w:cs="Times New Roman" w:hint="eastAsia"/>
          <w:kern w:val="0"/>
          <w:sz w:val="24"/>
          <w:szCs w:val="24"/>
        </w:rPr>
        <w:t>计算单位乘以船舶证书规定的载客定额计算赔偿限额，但是最高不超过</w:t>
      </w:r>
      <w:r w:rsidRPr="0017080B">
        <w:rPr>
          <w:rFonts w:ascii="Times New Roman" w:eastAsia="宋体" w:hAnsi="Times New Roman" w:cs="Times New Roman" w:hint="eastAsia"/>
          <w:kern w:val="0"/>
          <w:sz w:val="24"/>
          <w:szCs w:val="24"/>
        </w:rPr>
        <w:t>25000000</w:t>
      </w:r>
      <w:r w:rsidRPr="0017080B">
        <w:rPr>
          <w:rFonts w:ascii="宋体" w:eastAsia="宋体" w:hAnsi="宋体" w:cs="Times New Roman" w:hint="eastAsia"/>
          <w:kern w:val="0"/>
          <w:sz w:val="24"/>
          <w:szCs w:val="24"/>
        </w:rPr>
        <w:t>计算单位。</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宋体" w:eastAsia="宋体" w:hAnsi="宋体" w:cs="Times New Roman" w:hint="eastAsia"/>
          <w:kern w:val="0"/>
          <w:sz w:val="24"/>
          <w:szCs w:val="24"/>
        </w:rPr>
        <w:t>中华人民共和国港口之间海上旅客运输的旅客人身伤亡，赔偿限额由国务院交通主管部门制定，报国务院批准后施行。</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宋体" w:eastAsia="宋体" w:hAnsi="宋体" w:cs="Times New Roman" w:hint="eastAsia"/>
          <w:kern w:val="0"/>
          <w:sz w:val="24"/>
          <w:szCs w:val="24"/>
        </w:rPr>
        <w:t>第二百一十二条</w:t>
      </w:r>
      <w:r w:rsidRPr="0017080B">
        <w:rPr>
          <w:rFonts w:ascii="Times New Roman" w:eastAsia="宋体" w:hAnsi="Times New Roman" w:cs="Times New Roman"/>
          <w:kern w:val="0"/>
          <w:sz w:val="24"/>
          <w:szCs w:val="24"/>
        </w:rPr>
        <w:t xml:space="preserve"> </w:t>
      </w:r>
      <w:r w:rsidRPr="0017080B">
        <w:rPr>
          <w:rFonts w:ascii="宋体" w:eastAsia="宋体" w:hAnsi="宋体" w:cs="Times New Roman" w:hint="eastAsia"/>
          <w:kern w:val="0"/>
          <w:sz w:val="24"/>
          <w:szCs w:val="24"/>
        </w:rPr>
        <w:t>本法第二百一十条和第二百一十一条规定的赔偿限额，适用于特定场合发生的事故引起的，向船舶所有人、救助人本人和他们对其行为、过失负有责任的人员提出的请求的总额。</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宋体" w:eastAsia="宋体" w:hAnsi="宋体" w:cs="Times New Roman" w:hint="eastAsia"/>
          <w:kern w:val="0"/>
          <w:sz w:val="24"/>
          <w:szCs w:val="24"/>
        </w:rPr>
        <w:t>第二百一十三条</w:t>
      </w:r>
      <w:r w:rsidRPr="0017080B">
        <w:rPr>
          <w:rFonts w:ascii="Times New Roman" w:eastAsia="宋体" w:hAnsi="Times New Roman" w:cs="Times New Roman"/>
          <w:kern w:val="0"/>
          <w:sz w:val="24"/>
          <w:szCs w:val="24"/>
        </w:rPr>
        <w:t xml:space="preserve"> </w:t>
      </w:r>
      <w:r w:rsidRPr="0017080B">
        <w:rPr>
          <w:rFonts w:ascii="宋体" w:eastAsia="宋体" w:hAnsi="宋体" w:cs="Times New Roman" w:hint="eastAsia"/>
          <w:kern w:val="0"/>
          <w:sz w:val="24"/>
          <w:szCs w:val="24"/>
        </w:rPr>
        <w:t>责任人要求依照本法规定限制赔偿责任的，可以在有管辖权的法院设立责任限制基金。基金数额分别为本法第二百一十条、第二百一十一条规定的限额，加上自责任产生之日起至基金设立之日止的相应利息。</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宋体" w:eastAsia="宋体" w:hAnsi="宋体" w:cs="Times New Roman" w:hint="eastAsia"/>
          <w:kern w:val="0"/>
          <w:sz w:val="24"/>
          <w:szCs w:val="24"/>
        </w:rPr>
        <w:t>第二百一十四条</w:t>
      </w:r>
      <w:r w:rsidRPr="0017080B">
        <w:rPr>
          <w:rFonts w:ascii="Times New Roman" w:eastAsia="宋体" w:hAnsi="Times New Roman" w:cs="Times New Roman"/>
          <w:kern w:val="0"/>
          <w:sz w:val="24"/>
          <w:szCs w:val="24"/>
        </w:rPr>
        <w:t xml:space="preserve"> </w:t>
      </w:r>
      <w:r w:rsidRPr="0017080B">
        <w:rPr>
          <w:rFonts w:ascii="宋体" w:eastAsia="宋体" w:hAnsi="宋体" w:cs="Times New Roman" w:hint="eastAsia"/>
          <w:kern w:val="0"/>
          <w:sz w:val="24"/>
          <w:szCs w:val="24"/>
        </w:rPr>
        <w:t>责任人设立责任限制基金后，向责任人提出请求的任何人，不得对责任人的任何财产行使任何权利；已设立责任限制基金的责任人的船舶或者其他财产已经被扣押，或者基金设立人已经提交抵押物的，法院应当及时下令释放或者责令退还。</w:t>
      </w:r>
    </w:p>
    <w:p w:rsidR="0017080B" w:rsidRPr="0017080B" w:rsidRDefault="0017080B" w:rsidP="0017080B">
      <w:pPr>
        <w:widowControl/>
        <w:spacing w:line="360" w:lineRule="auto"/>
        <w:ind w:firstLineChars="200" w:firstLine="480"/>
        <w:rPr>
          <w:rFonts w:ascii="宋体" w:eastAsia="宋体" w:hAnsi="宋体" w:cs="Times New Roman" w:hint="eastAsia"/>
          <w:kern w:val="0"/>
          <w:sz w:val="24"/>
          <w:szCs w:val="24"/>
        </w:rPr>
      </w:pPr>
      <w:r w:rsidRPr="0017080B">
        <w:rPr>
          <w:rFonts w:ascii="宋体" w:eastAsia="宋体" w:hAnsi="宋体" w:cs="Times New Roman" w:hint="eastAsia"/>
          <w:kern w:val="0"/>
          <w:sz w:val="24"/>
          <w:szCs w:val="24"/>
        </w:rPr>
        <w:t>第二百一十五条</w:t>
      </w:r>
      <w:r w:rsidRPr="0017080B">
        <w:rPr>
          <w:rFonts w:ascii="Times New Roman" w:eastAsia="宋体" w:hAnsi="Times New Roman" w:cs="Times New Roman"/>
          <w:kern w:val="0"/>
          <w:sz w:val="24"/>
          <w:szCs w:val="24"/>
        </w:rPr>
        <w:t xml:space="preserve"> </w:t>
      </w:r>
      <w:r w:rsidRPr="0017080B">
        <w:rPr>
          <w:rFonts w:ascii="宋体" w:eastAsia="宋体" w:hAnsi="宋体" w:cs="Times New Roman" w:hint="eastAsia"/>
          <w:kern w:val="0"/>
          <w:sz w:val="24"/>
          <w:szCs w:val="24"/>
        </w:rPr>
        <w:t>享受本章规定的责任限制的人，就同一事故向请求人提出反请求的，双方的请求金额应当相互抵销，本章规定的赔偿限额仅适用于两个请求金额之间的差额。</w:t>
      </w:r>
    </w:p>
    <w:p w:rsidR="00276E43" w:rsidRPr="0017080B" w:rsidRDefault="00276E43"/>
    <w:sectPr w:rsidR="00276E43" w:rsidRPr="00170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D6"/>
    <w:rsid w:val="0017080B"/>
    <w:rsid w:val="00276E43"/>
    <w:rsid w:val="006F4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2FD6"/>
  <w15:chartTrackingRefBased/>
  <w15:docId w15:val="{87C073BB-084E-4F50-9658-46EA090F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87992">
      <w:bodyDiv w:val="1"/>
      <w:marLeft w:val="0"/>
      <w:marRight w:val="0"/>
      <w:marTop w:val="0"/>
      <w:marBottom w:val="0"/>
      <w:divBdr>
        <w:top w:val="none" w:sz="0" w:space="0" w:color="auto"/>
        <w:left w:val="none" w:sz="0" w:space="0" w:color="auto"/>
        <w:bottom w:val="none" w:sz="0" w:space="0" w:color="auto"/>
        <w:right w:val="none" w:sz="0" w:space="0" w:color="auto"/>
      </w:divBdr>
    </w:div>
    <w:div w:id="44415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2022-01-29T08:54:00Z</dcterms:created>
  <dcterms:modified xsi:type="dcterms:W3CDTF">2022-01-29T08:56:00Z</dcterms:modified>
</cp:coreProperties>
</file>