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BC9" w:rsidRDefault="00CD4BC9" w:rsidP="003B4E8D">
      <w:pPr>
        <w:spacing w:line="560" w:lineRule="exact"/>
        <w:rPr>
          <w:rFonts w:ascii="仿宋_GB2312" w:eastAsia="仿宋_GB2312" w:hAnsi="仿宋_GB2312" w:cs="仿宋_GB2312" w:hint="eastAsia"/>
          <w:sz w:val="32"/>
          <w:szCs w:val="32"/>
        </w:rPr>
      </w:pPr>
      <w:bookmarkStart w:id="0" w:name="_GoBack"/>
      <w:bookmarkEnd w:id="0"/>
    </w:p>
    <w:p w:rsidR="00CD4BC9" w:rsidRDefault="00206040">
      <w:pPr>
        <w:spacing w:line="560" w:lineRule="exact"/>
        <w:ind w:firstLineChars="200" w:firstLine="880"/>
        <w:jc w:val="center"/>
        <w:rPr>
          <w:rFonts w:ascii="宋体" w:hAnsi="宋体" w:cs="宋体"/>
          <w:sz w:val="44"/>
          <w:szCs w:val="44"/>
        </w:rPr>
      </w:pPr>
      <w:r>
        <w:rPr>
          <w:rFonts w:ascii="宋体" w:hAnsi="宋体" w:cs="宋体" w:hint="eastAsia"/>
          <w:sz w:val="44"/>
          <w:szCs w:val="44"/>
        </w:rPr>
        <w:t>最高人民法院</w:t>
      </w:r>
    </w:p>
    <w:p w:rsidR="00CD4BC9" w:rsidRDefault="00206040">
      <w:pPr>
        <w:spacing w:line="560" w:lineRule="exact"/>
        <w:ind w:firstLineChars="200" w:firstLine="880"/>
        <w:jc w:val="center"/>
        <w:rPr>
          <w:rFonts w:ascii="宋体" w:hAnsi="宋体" w:cs="宋体"/>
          <w:sz w:val="44"/>
          <w:szCs w:val="44"/>
        </w:rPr>
      </w:pPr>
      <w:r>
        <w:rPr>
          <w:rFonts w:ascii="宋体" w:hAnsi="宋体" w:cs="宋体" w:hint="eastAsia"/>
          <w:sz w:val="44"/>
          <w:szCs w:val="44"/>
        </w:rPr>
        <w:t>关于审理涉船员纠纷案件</w:t>
      </w:r>
    </w:p>
    <w:p w:rsidR="00CD4BC9" w:rsidRDefault="00206040">
      <w:pPr>
        <w:spacing w:line="560" w:lineRule="exact"/>
        <w:ind w:firstLineChars="200" w:firstLine="880"/>
        <w:jc w:val="center"/>
        <w:rPr>
          <w:rFonts w:ascii="仿宋_GB2312" w:eastAsia="仿宋_GB2312" w:hAnsi="仿宋_GB2312" w:cs="仿宋_GB2312"/>
          <w:sz w:val="32"/>
          <w:szCs w:val="32"/>
        </w:rPr>
      </w:pPr>
      <w:r>
        <w:rPr>
          <w:rFonts w:ascii="宋体" w:hAnsi="宋体" w:cs="宋体" w:hint="eastAsia"/>
          <w:sz w:val="44"/>
          <w:szCs w:val="44"/>
        </w:rPr>
        <w:t>若干问题的规定</w:t>
      </w:r>
    </w:p>
    <w:p w:rsidR="00CD4BC9" w:rsidRDefault="00CD4BC9">
      <w:pPr>
        <w:spacing w:line="560" w:lineRule="exact"/>
        <w:ind w:firstLineChars="200" w:firstLine="640"/>
        <w:rPr>
          <w:rFonts w:ascii="仿宋_GB2312" w:eastAsia="仿宋_GB2312" w:hAnsi="仿宋_GB2312" w:cs="仿宋_GB2312"/>
          <w:sz w:val="32"/>
          <w:szCs w:val="32"/>
        </w:rPr>
      </w:pPr>
    </w:p>
    <w:p w:rsidR="00CD4BC9" w:rsidRDefault="00206040">
      <w:pPr>
        <w:spacing w:line="560" w:lineRule="exact"/>
        <w:ind w:firstLine="640"/>
        <w:jc w:val="center"/>
        <w:rPr>
          <w:rFonts w:ascii="仿宋_GB2312" w:eastAsia="仿宋_GB2312" w:hAnsi="仿宋_GB2312" w:cs="仿宋_GB2312"/>
          <w:sz w:val="32"/>
          <w:szCs w:val="32"/>
        </w:rPr>
      </w:pPr>
      <w:r>
        <w:rPr>
          <w:rFonts w:ascii="仿宋_GB2312" w:eastAsia="楷体_GB2312" w:hAnsi="仿宋_GB2312" w:cs="仿宋_GB2312" w:hint="eastAsia"/>
          <w:sz w:val="32"/>
          <w:szCs w:val="32"/>
        </w:rPr>
        <w:t>法释</w:t>
      </w:r>
      <w:r>
        <w:rPr>
          <w:rFonts w:ascii="仿宋_GB2312" w:eastAsia="仿宋_GB2312" w:hAnsi="仿宋_GB2312" w:cs="仿宋_GB2312" w:hint="eastAsia"/>
          <w:sz w:val="32"/>
          <w:szCs w:val="32"/>
        </w:rPr>
        <w:t>〔2020〕11号</w:t>
      </w:r>
    </w:p>
    <w:p w:rsidR="00CD4BC9" w:rsidRDefault="00CD4BC9">
      <w:pPr>
        <w:spacing w:line="560" w:lineRule="exact"/>
        <w:ind w:firstLineChars="200" w:firstLine="640"/>
        <w:rPr>
          <w:rFonts w:ascii="仿宋_GB2312" w:eastAsia="仿宋_GB2312" w:hAnsi="仿宋_GB2312" w:cs="仿宋_GB2312"/>
          <w:sz w:val="32"/>
          <w:szCs w:val="32"/>
        </w:rPr>
      </w:pPr>
    </w:p>
    <w:p w:rsidR="00CD4BC9" w:rsidRDefault="00206040">
      <w:pPr>
        <w:spacing w:line="560" w:lineRule="exact"/>
        <w:ind w:leftChars="300" w:left="630" w:rightChars="300" w:right="630"/>
        <w:rPr>
          <w:rFonts w:ascii="仿宋_GB2312" w:eastAsia="仿宋_GB2312" w:hAnsi="仿宋_GB2312" w:cs="仿宋_GB2312"/>
          <w:sz w:val="32"/>
          <w:szCs w:val="32"/>
        </w:rPr>
      </w:pPr>
      <w:r>
        <w:rPr>
          <w:rFonts w:ascii="楷体_GB2312" w:eastAsia="楷体_GB2312" w:hAnsi="楷体_GB2312" w:cs="楷体_GB2312" w:hint="eastAsia"/>
          <w:sz w:val="32"/>
          <w:szCs w:val="32"/>
        </w:rPr>
        <w:t>（2020年6月8日最高人民法院审判委员会第1803次会议通过，自2020年9月29日起施行）</w:t>
      </w:r>
    </w:p>
    <w:p w:rsidR="00CD4BC9" w:rsidRDefault="00CD4BC9">
      <w:pPr>
        <w:spacing w:line="560" w:lineRule="exact"/>
        <w:ind w:firstLineChars="200" w:firstLine="640"/>
        <w:rPr>
          <w:rFonts w:ascii="仿宋_GB2312" w:eastAsia="仿宋_GB2312" w:hAnsi="仿宋_GB2312" w:cs="仿宋_GB2312"/>
          <w:sz w:val="32"/>
          <w:szCs w:val="32"/>
        </w:rPr>
      </w:pPr>
    </w:p>
    <w:p w:rsidR="00CD4BC9" w:rsidRDefault="002060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正确审理涉船员纠纷案件，根据《中华人民共和国劳动合同法》《中华人民共和国海商法》《中华人民共和国劳动争议调解仲裁法》《中华人民共和国海事诉讼特别程序法》等法律的规定，结合审判实践，制定本规定。</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第一条  </w:t>
      </w:r>
      <w:r>
        <w:rPr>
          <w:rFonts w:ascii="仿宋_GB2312" w:eastAsia="仿宋_GB2312" w:hAnsi="仿宋_GB2312" w:cs="仿宋_GB2312" w:hint="eastAsia"/>
          <w:sz w:val="32"/>
          <w:szCs w:val="32"/>
        </w:rPr>
        <w:t>船员与船舶所有人之间的劳动争议不涉及船员登船、在船工作、离船遣返，当事人直接向海事法院提起诉讼的，海事法院告知当事人依照《中华人民共和国劳动争议调解仲裁法》的规定处理。</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第二条  </w:t>
      </w:r>
      <w:r>
        <w:rPr>
          <w:rFonts w:ascii="仿宋_GB2312" w:eastAsia="仿宋_GB2312" w:hAnsi="仿宋_GB2312" w:cs="仿宋_GB2312" w:hint="eastAsia"/>
          <w:sz w:val="32"/>
          <w:szCs w:val="32"/>
        </w:rPr>
        <w:t>船员与船舶所有人之间的劳务合同纠纷，当事人向原告住所地、合同签订地、船员登船港或者离船港所在地、被告住所地海事法院提起诉讼的，海事法院应予受理。</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第三条  </w:t>
      </w:r>
      <w:r>
        <w:rPr>
          <w:rFonts w:ascii="仿宋_GB2312" w:eastAsia="仿宋_GB2312" w:hAnsi="仿宋_GB2312" w:cs="仿宋_GB2312" w:hint="eastAsia"/>
          <w:sz w:val="32"/>
          <w:szCs w:val="32"/>
        </w:rPr>
        <w:t>船员服务机构仅代理船员办理相关手续，或者仅为</w:t>
      </w:r>
      <w:r>
        <w:rPr>
          <w:rFonts w:ascii="仿宋_GB2312" w:eastAsia="仿宋_GB2312" w:hAnsi="仿宋_GB2312" w:cs="仿宋_GB2312" w:hint="eastAsia"/>
          <w:sz w:val="32"/>
          <w:szCs w:val="32"/>
        </w:rPr>
        <w:lastRenderedPageBreak/>
        <w:t>船员提供就业信息，且不属于劳务派遣情形，船员服务机构主张其与船员仅成立居间或委托合同关系的，应予支持。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第四条  </w:t>
      </w:r>
      <w:r>
        <w:rPr>
          <w:rFonts w:ascii="仿宋_GB2312" w:eastAsia="仿宋_GB2312" w:hAnsi="仿宋_GB2312" w:cs="仿宋_GB2312" w:hint="eastAsia"/>
          <w:sz w:val="32"/>
          <w:szCs w:val="32"/>
        </w:rPr>
        <w:t>船舶所有人以被挂靠单位的名义对外经营，船舶所有人未与船员签订书面劳动合同，其聘用的船员因工伤亡，船员主张被挂靠单位为承担工伤保险责任的单位的，应予支持。船舶所有人与船员成立劳动关系的除外。</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第五条  </w:t>
      </w:r>
      <w:r>
        <w:rPr>
          <w:rFonts w:ascii="仿宋_GB2312" w:eastAsia="仿宋_GB2312" w:hAnsi="仿宋_GB2312" w:cs="仿宋_GB2312" w:hint="eastAsia"/>
          <w:sz w:val="32"/>
          <w:szCs w:val="32"/>
        </w:rPr>
        <w:t>与船员登船、在船工作、离船遣返无关的劳动争议提交劳动争议仲裁委员会仲裁，仲裁庭根据船员的申请，就船员工资和其他劳动报酬、工伤医疗费、经济补偿或赔偿金裁决先予执行的，移送地方人民法院审查。</w:t>
      </w:r>
    </w:p>
    <w:p w:rsidR="00CD4BC9" w:rsidRDefault="002060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船员申请扣押船舶的，仲裁庭应将扣押船舶申请提交船籍港所在地或者船舶所在地的海事法院审查，或交地方人民法院委托船籍港所在地或者船舶所在地的海事法院审查。</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具有船舶优先权的海事请求，船员未依照《中华人民共和国海商法》第二十八条的规定请求扣押产生船舶优先权的船舶，仅请求确认其在一定期限内对该产生船舶优先权的船舶享有优先权的，应予支持。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前款规定的期限自优先权产生之日起以一年为限。</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第七条  </w:t>
      </w:r>
      <w:r>
        <w:rPr>
          <w:rFonts w:ascii="仿宋_GB2312" w:eastAsia="仿宋_GB2312" w:hAnsi="仿宋_GB2312" w:cs="仿宋_GB2312" w:hint="eastAsia"/>
          <w:sz w:val="32"/>
          <w:szCs w:val="32"/>
        </w:rPr>
        <w:t>具有船舶优先权的海事请求，船员未申请限制船舶继续营运，仅申请对船舶采取限制处分、限制抵押等保全措施的，应予支持。船员主张该保全措施构成《中华人民共和国海商法》第二十八条规定的船舶扣押的，不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第八条  </w:t>
      </w:r>
      <w:r>
        <w:rPr>
          <w:rFonts w:ascii="仿宋_GB2312" w:eastAsia="仿宋_GB2312" w:hAnsi="仿宋_GB2312" w:cs="仿宋_GB2312" w:hint="eastAsia"/>
          <w:sz w:val="32"/>
          <w:szCs w:val="32"/>
        </w:rPr>
        <w:t>因登船、在船工作、离船遣返产生的下列工资、其他劳动报酬，船员主张船舶优先权的，应予支持：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（一）正常工作时间的报酬或基本工资；</w:t>
      </w:r>
    </w:p>
    <w:p w:rsidR="00CD4BC9" w:rsidRDefault="002060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（二）延长工作时间的加班工资，休息日、法定休假日加班工资；</w:t>
      </w:r>
    </w:p>
    <w:p w:rsidR="00CD4BC9" w:rsidRDefault="002060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（三）在船服务期间的奖金、相关津贴和补贴，以及特殊情况下支付的工资等；</w:t>
      </w:r>
    </w:p>
    <w:p w:rsidR="00CD4BC9" w:rsidRDefault="002060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（四）未按期支付上述款项产生的孳息。</w:t>
      </w:r>
    </w:p>
    <w:p w:rsidR="00CD4BC9" w:rsidRDefault="002060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劳动法》和《中华人民共和国劳动合同法》中规定的相关经济补偿金、赔偿金，未依据《中华人民共和国劳动合同法》第八十二条之规定签订书面劳动合同而应支付的双倍工资，以及因未按期支付本款规定的前述费用而产生的孳息，船员主张船舶优先权的，不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第九条  </w:t>
      </w:r>
      <w:r>
        <w:rPr>
          <w:rFonts w:ascii="仿宋_GB2312" w:eastAsia="仿宋_GB2312" w:hAnsi="仿宋_GB2312" w:cs="仿宋_GB2312" w:hint="eastAsia"/>
          <w:sz w:val="32"/>
          <w:szCs w:val="32"/>
        </w:rPr>
        <w:t>船员因登船、在船工作、离船遣返而产生的工资、其他劳动报酬、船员遣返费用、社会保险费用，船舶所有人未依约支付，第三方向船员垫付全部或部分费用，船员将相应的海事请求权转让给第三方，第三方就受让的海事请求权请求确认或行使船舶优先权的，应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第十条  </w:t>
      </w:r>
      <w:r>
        <w:rPr>
          <w:rFonts w:ascii="仿宋_GB2312" w:eastAsia="仿宋_GB2312" w:hAnsi="仿宋_GB2312" w:cs="仿宋_GB2312" w:hint="eastAsia"/>
          <w:sz w:val="32"/>
          <w:szCs w:val="32"/>
        </w:rPr>
        <w:t>船员境外工作期间被遗弃，或遭遇其他突发事件，船舶所有人或其财务担保人、船员外派机构未承担相应责任，船员请求财务担保人、船员外派机构从财务担保费用、海员外派备用金中先行支付紧急救助所需相关费用的，应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 xml:space="preserve">第十一条  </w:t>
      </w:r>
      <w:r>
        <w:rPr>
          <w:rFonts w:ascii="仿宋_GB2312" w:eastAsia="仿宋_GB2312" w:hAnsi="仿宋_GB2312" w:cs="仿宋_GB2312" w:hint="eastAsia"/>
          <w:sz w:val="32"/>
          <w:szCs w:val="32"/>
        </w:rPr>
        <w:t>对于船员工资构成是否涵盖船员登船、在船工作、离船遣返期间的工作日加班工资、休息日加班工资、法定休假日加班工资，当事人有约定并主张依据约定确定双方加班工资的，应予支持。但约定标准低于法定最低工资标准的，不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第十二条  </w:t>
      </w:r>
      <w:r>
        <w:rPr>
          <w:rFonts w:ascii="仿宋_GB2312" w:eastAsia="仿宋_GB2312" w:hAnsi="仿宋_GB2312" w:cs="仿宋_GB2312" w:hint="eastAsia"/>
          <w:sz w:val="32"/>
          <w:szCs w:val="32"/>
        </w:rPr>
        <w:t>标准工时制度下，船员就休息日加班主张加班工资，船舶所有人举证证明已做补休安排，不应按法定标准支付加班工资的，应予支持。　　综合计算工时工作制下，船员对综合计算周期内的工作时间总量超过标准工作时间总量的部分主张加班工资的，应予支持。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船员就法定休假日加班主张加班工资，船舶所有人抗辩对法定休假日加班已做补休安排，不应支付法定休假日加班工资的，对船舶所有人的抗辩不予支持。双方另有约定的除外。</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第十三条  </w:t>
      </w:r>
      <w:r>
        <w:rPr>
          <w:rFonts w:ascii="仿宋_GB2312" w:eastAsia="仿宋_GB2312" w:hAnsi="仿宋_GB2312" w:cs="仿宋_GB2312" w:hint="eastAsia"/>
          <w:sz w:val="32"/>
          <w:szCs w:val="32"/>
        </w:rPr>
        <w:t>当事人对船员工资或其他劳动报酬的支付标准、支付方式未作约定或约定不明，当事人主张以同工种、同级别、同时期市场的平均标准确定的，应予支持。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第十四条  </w:t>
      </w:r>
      <w:r>
        <w:rPr>
          <w:rFonts w:ascii="仿宋_GB2312" w:eastAsia="仿宋_GB2312" w:hAnsi="仿宋_GB2312" w:cs="仿宋_GB2312" w:hint="eastAsia"/>
          <w:sz w:val="32"/>
          <w:szCs w:val="32"/>
        </w:rPr>
        <w:t>船员因受欺诈、受胁迫在禁渔期、禁渔区或使用禁用的工具、方法捕捞水产品，或者捕捞珍稀、濒危海洋生物，或者进行其他违法作业，对船员主张的登船、在船工作、离船遣返期间的船员工资、其他劳动报酬，应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船舶所有人举证证明船员对违法作业自愿且明知的，对船员的上述请求不予支持。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船舶所有人或者船员的行为应受行政处罚或涉嫌刑事犯罪</w:t>
      </w:r>
      <w:r>
        <w:rPr>
          <w:rFonts w:ascii="仿宋_GB2312" w:eastAsia="仿宋_GB2312" w:hAnsi="仿宋_GB2312" w:cs="仿宋_GB2312" w:hint="eastAsia"/>
          <w:sz w:val="32"/>
          <w:szCs w:val="32"/>
        </w:rPr>
        <w:lastRenderedPageBreak/>
        <w:t>的，依照相关法定程序处理。</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第十五条  </w:t>
      </w:r>
      <w:r>
        <w:rPr>
          <w:rFonts w:ascii="仿宋_GB2312" w:eastAsia="仿宋_GB2312" w:hAnsi="仿宋_GB2312" w:cs="仿宋_GB2312" w:hint="eastAsia"/>
          <w:sz w:val="32"/>
          <w:szCs w:val="32"/>
        </w:rPr>
        <w:t>船员因劳务受到损害，船舶所有人举证证明船员自身存在过错，并请求判令船员自担相应责任的，对船舶所有人的抗辩予以支持。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第十六条  </w:t>
      </w:r>
      <w:r>
        <w:rPr>
          <w:rFonts w:ascii="仿宋_GB2312" w:eastAsia="仿宋_GB2312" w:hAnsi="仿宋_GB2312" w:cs="仿宋_GB2312" w:hint="eastAsia"/>
          <w:sz w:val="32"/>
          <w:szCs w:val="32"/>
        </w:rPr>
        <w:t>因第三人的原因遭受工伤，船员对第三人提起民事诉讼请求民事赔偿，第三人以船员已获得工伤保险待遇为由，抗辩其不应承担民事赔偿责任的，对第三人的抗辩不予支持。但船员已经获得医疗费用的，对船员关于医疗费用的诉讼请求不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第十七条  </w:t>
      </w:r>
      <w:r>
        <w:rPr>
          <w:rFonts w:ascii="仿宋_GB2312" w:eastAsia="仿宋_GB2312" w:hAnsi="仿宋_GB2312" w:cs="仿宋_GB2312" w:hint="eastAsia"/>
          <w:sz w:val="32"/>
          <w:szCs w:val="32"/>
        </w:rPr>
        <w:t>船员与船舶所有人之间的劳动合同具有涉外因素，当事人请求依照《中华人民共和国涉外民事关系法律适用法》第四十三条确定应适用的法律的，应予支持。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船员与船舶所有人之间的劳务合同，当事人没有选择应适用的法律，当事人主张适用劳务派出地、船舶所有人主营业地、船旗国法律的，应予支持。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船员与船员服务机构之间，以及船员服务机构与船舶所有人之间的居间或委托协议，当事人未选择应适用的法律，当事人主张适用与该合同有最密切联系的法律的，应予支持。</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第十八条  </w:t>
      </w:r>
      <w:r>
        <w:rPr>
          <w:rFonts w:ascii="仿宋_GB2312" w:eastAsia="仿宋_GB2312" w:hAnsi="仿宋_GB2312" w:cs="仿宋_GB2312" w:hint="eastAsia"/>
          <w:sz w:val="32"/>
          <w:szCs w:val="32"/>
        </w:rPr>
        <w:t>本规定中的船舶所有人，包括光船承租人、船舶管理人、船舶经营人。</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第十九条  </w:t>
      </w:r>
      <w:r>
        <w:rPr>
          <w:rFonts w:ascii="仿宋_GB2312" w:eastAsia="仿宋_GB2312" w:hAnsi="仿宋_GB2312" w:cs="仿宋_GB2312" w:hint="eastAsia"/>
          <w:sz w:val="32"/>
          <w:szCs w:val="32"/>
        </w:rPr>
        <w:t>本规定施行后尚未终审的案件，适用本规定；本规定施行前已经终审，当事人申请再审或者按照审判监督程序决</w:t>
      </w:r>
      <w:r>
        <w:rPr>
          <w:rFonts w:ascii="仿宋_GB2312" w:eastAsia="仿宋_GB2312" w:hAnsi="仿宋_GB2312" w:cs="仿宋_GB2312" w:hint="eastAsia"/>
          <w:sz w:val="32"/>
          <w:szCs w:val="32"/>
        </w:rPr>
        <w:lastRenderedPageBreak/>
        <w:t>定再审的案件，不适用本规定。</w:t>
      </w:r>
    </w:p>
    <w:p w:rsidR="00CD4BC9" w:rsidRDefault="0020604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 xml:space="preserve">第二十条  </w:t>
      </w:r>
      <w:r>
        <w:rPr>
          <w:rFonts w:ascii="仿宋_GB2312" w:eastAsia="仿宋_GB2312" w:hAnsi="仿宋_GB2312" w:cs="仿宋_GB2312" w:hint="eastAsia"/>
          <w:sz w:val="32"/>
          <w:szCs w:val="32"/>
        </w:rPr>
        <w:t>本院以前发布的规定与本规定不一致的，以本规定为准。</w:t>
      </w:r>
    </w:p>
    <w:p w:rsidR="00CD4BC9" w:rsidRDefault="00206040">
      <w:pPr>
        <w:spacing w:line="560" w:lineRule="exact"/>
        <w:ind w:firstLineChars="200" w:firstLine="640"/>
      </w:pPr>
      <w:r>
        <w:rPr>
          <w:rFonts w:ascii="黑体" w:eastAsia="黑体" w:hAnsi="黑体" w:cs="黑体" w:hint="eastAsia"/>
          <w:sz w:val="32"/>
          <w:szCs w:val="32"/>
        </w:rPr>
        <w:t xml:space="preserve">第二十一条  </w:t>
      </w:r>
      <w:r>
        <w:rPr>
          <w:rFonts w:ascii="仿宋_GB2312" w:eastAsia="仿宋_GB2312" w:hAnsi="仿宋_GB2312" w:cs="仿宋_GB2312" w:hint="eastAsia"/>
          <w:sz w:val="32"/>
          <w:szCs w:val="32"/>
        </w:rPr>
        <w:t>本规定自2020年9月29日起实施。</w:t>
      </w:r>
    </w:p>
    <w:p w:rsidR="00CD4BC9" w:rsidRDefault="00CD4BC9"/>
    <w:sectPr w:rsidR="00CD4BC9">
      <w:footerReference w:type="even" r:id="rId7"/>
      <w:footerReference w:type="default" r:id="rId8"/>
      <w:pgSz w:w="11906" w:h="16838"/>
      <w:pgMar w:top="2098" w:right="1474" w:bottom="1984" w:left="1587" w:header="851" w:footer="992"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5B" w:rsidRDefault="00832B5B">
      <w:r>
        <w:separator/>
      </w:r>
    </w:p>
  </w:endnote>
  <w:endnote w:type="continuationSeparator" w:id="0">
    <w:p w:rsidR="00832B5B" w:rsidRDefault="0083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C9" w:rsidRDefault="00206040">
    <w:pPr>
      <w:pStyle w:val="a3"/>
    </w:pPr>
    <w:r>
      <w:rPr>
        <w:noProof/>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4BC9" w:rsidRDefault="00206040">
                          <w:pPr>
                            <w:pStyle w:val="a3"/>
                          </w:pPr>
                          <w:r>
                            <w:rPr>
                              <w:rFonts w:hint="eastAsia"/>
                            </w:rPr>
                            <w:fldChar w:fldCharType="begin"/>
                          </w:r>
                          <w:r>
                            <w:rPr>
                              <w:rFonts w:hint="eastAsia"/>
                            </w:rPr>
                            <w:instrText xml:space="preserve"> PAGE  \* MERGEFORMAT </w:instrText>
                          </w:r>
                          <w:r>
                            <w:rPr>
                              <w:rFonts w:hint="eastAsia"/>
                            </w:rPr>
                            <w:fldChar w:fldCharType="separate"/>
                          </w:r>
                          <w:r w:rsidR="003B4E8D">
                            <w:rPr>
                              <w:noProof/>
                            </w:rP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D4BC9" w:rsidRDefault="00206040">
                    <w:pPr>
                      <w:pStyle w:val="a3"/>
                    </w:pPr>
                    <w:r>
                      <w:rPr>
                        <w:rFonts w:hint="eastAsia"/>
                      </w:rPr>
                      <w:fldChar w:fldCharType="begin"/>
                    </w:r>
                    <w:r>
                      <w:rPr>
                        <w:rFonts w:hint="eastAsia"/>
                      </w:rPr>
                      <w:instrText xml:space="preserve"> PAGE  \* MERGEFORMAT </w:instrText>
                    </w:r>
                    <w:r>
                      <w:rPr>
                        <w:rFonts w:hint="eastAsia"/>
                      </w:rPr>
                      <w:fldChar w:fldCharType="separate"/>
                    </w:r>
                    <w:r w:rsidR="003B4E8D">
                      <w:rPr>
                        <w:noProof/>
                      </w:rPr>
                      <w:t>- 6 -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C9" w:rsidRDefault="00206040">
    <w:pPr>
      <w:pStyle w:val="a3"/>
    </w:pPr>
    <w:r>
      <w:rPr>
        <w:noProof/>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4BC9" w:rsidRDefault="00206040">
                          <w:pPr>
                            <w:pStyle w:val="a3"/>
                          </w:pPr>
                          <w:r>
                            <w:rPr>
                              <w:rFonts w:hint="eastAsia"/>
                            </w:rPr>
                            <w:fldChar w:fldCharType="begin"/>
                          </w:r>
                          <w:r>
                            <w:rPr>
                              <w:rFonts w:hint="eastAsia"/>
                            </w:rPr>
                            <w:instrText xml:space="preserve"> PAGE  \* MERGEFORMAT </w:instrText>
                          </w:r>
                          <w:r>
                            <w:rPr>
                              <w:rFonts w:hint="eastAsia"/>
                            </w:rPr>
                            <w:fldChar w:fldCharType="separate"/>
                          </w:r>
                          <w:r w:rsidR="003B4E8D">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CD4BC9" w:rsidRDefault="00206040">
                    <w:pPr>
                      <w:pStyle w:val="a3"/>
                    </w:pPr>
                    <w:r>
                      <w:rPr>
                        <w:rFonts w:hint="eastAsia"/>
                      </w:rPr>
                      <w:fldChar w:fldCharType="begin"/>
                    </w:r>
                    <w:r>
                      <w:rPr>
                        <w:rFonts w:hint="eastAsia"/>
                      </w:rPr>
                      <w:instrText xml:space="preserve"> PAGE  \* MERGEFORMAT </w:instrText>
                    </w:r>
                    <w:r>
                      <w:rPr>
                        <w:rFonts w:hint="eastAsia"/>
                      </w:rPr>
                      <w:fldChar w:fldCharType="separate"/>
                    </w:r>
                    <w:r w:rsidR="003B4E8D">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5B" w:rsidRDefault="00832B5B">
      <w:r>
        <w:separator/>
      </w:r>
    </w:p>
  </w:footnote>
  <w:footnote w:type="continuationSeparator" w:id="0">
    <w:p w:rsidR="00832B5B" w:rsidRDefault="00832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85E28"/>
    <w:rsid w:val="00206040"/>
    <w:rsid w:val="003B4E8D"/>
    <w:rsid w:val="004F0588"/>
    <w:rsid w:val="00832B5B"/>
    <w:rsid w:val="00CD4BC9"/>
    <w:rsid w:val="11CD2E99"/>
    <w:rsid w:val="1E8D6747"/>
    <w:rsid w:val="2D853024"/>
    <w:rsid w:val="4CB85E28"/>
    <w:rsid w:val="5C4B13F1"/>
    <w:rsid w:val="698E76A3"/>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4AAAB"/>
  <w15:docId w15:val="{D637C3BF-A07C-4ADA-B032-9EA6A9C6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宋体" w:hAnsi="宋体"/>
      <w:sz w:val="2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3</cp:revision>
  <dcterms:created xsi:type="dcterms:W3CDTF">2021-02-24T02:16:00Z</dcterms:created>
  <dcterms:modified xsi:type="dcterms:W3CDTF">2022-01-28T09:34:00Z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